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1B7C8" w14:textId="77777777" w:rsidR="006E7164" w:rsidRPr="006E7164" w:rsidRDefault="006E7164" w:rsidP="006E71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  <w:t xml:space="preserve">Kolejność czynności – przewodnik dla wnioskodawcy – osoby bezrobotnej zarejestrowanej 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  <w:br/>
        <w:t>w Powiatowym Urzędzie Pracy w Łobzie</w:t>
      </w:r>
    </w:p>
    <w:p w14:paraId="777458E2" w14:textId="77777777" w:rsidR="006E7164" w:rsidRPr="006E7164" w:rsidRDefault="006E7164" w:rsidP="006E716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82BF27" w14:textId="77777777" w:rsidR="006E7164" w:rsidRPr="006E7164" w:rsidRDefault="006E7164" w:rsidP="006E7164">
      <w:pPr>
        <w:spacing w:after="0" w:line="240" w:lineRule="auto"/>
        <w:ind w:left="709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1.  Złożyć </w:t>
      </w: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wniosek  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wszystkimi załącznikami. Rozpatruje się tylko wnioski kompletne. Złożenie wniosku nie jest równoznaczne z jego akceptacją. Jednorazowe środki na podjęcie działalności gospodarczej nie są obligatoryjne. Starosta może odmówić uwzględnienia wniosku.</w:t>
      </w:r>
    </w:p>
    <w:p w14:paraId="43EC081F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Czekać na </w:t>
      </w: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rozpatrzenie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wniosku (do 30 dni od dnia złożenia kompletnego wniosku). Wniosek może zostać rozpatrzony negatywnie z różnych przyczyn, np. z powodu braku środków finansowych, planowaniem uruchamiania działalności poza granicami powiatu Łobeskiego, negatywnej oceny planowanego przedsięwzięcia, niewystarczającym zabezpieczeniem ewentualnego zwrotu dotacji , nie złożeniem kompletu załączników itp.</w:t>
      </w:r>
    </w:p>
    <w:p w14:paraId="510055A4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 pozytywnym rozpatrzeniu wniosku </w:t>
      </w: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umówić się na podpisanie umowy z własnym współmałżonkiem, z  PUP, poręczycielami i ich współmałżonkami.</w:t>
      </w:r>
    </w:p>
    <w:p w14:paraId="14E26041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Podpisać umowę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B9351C3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Przelanie dotacji 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konto bezrobotnego (wyrejestrowanie z ewidencji osób bezrobotnych nastąpi po przedstawieniu dowodu wpływu dotacji na konto wnioskodawcy).</w:t>
      </w:r>
    </w:p>
    <w:p w14:paraId="6DB48FDC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Dokonać w urzędzie gminy </w:t>
      </w: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wpisu do ewidencji działalności gospodarczej. </w:t>
      </w:r>
    </w:p>
    <w:p w14:paraId="42FFEBF3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REGON  i NIP zostanie automatycznie nadany przez odpowiednie urzędy.</w:t>
      </w:r>
    </w:p>
    <w:p w14:paraId="6F0B9B06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Wyrobić pieczątki 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zgodne z wpisem do ewidencji działalności gospodarczej.</w:t>
      </w:r>
    </w:p>
    <w:p w14:paraId="2B47158A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Najpóźniej w ciągu 7 dni od rozpoczęcia działalności w ZUS wybrać formę oskładkowania,</w:t>
      </w:r>
    </w:p>
    <w:p w14:paraId="61121963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Rozliczyć się z dotacji 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urzędzie pracy (wpis do ewidencji działalności , faktury, rachunki, umowy kupna - sprzedaży z adnotacją: </w:t>
      </w: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zapłacono gotówką, kartą, za pobraniem</w:t>
      </w: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z dołączonymi dowodami zapłaty. Rachunki i umowy zagraniczne należy przetłumaczyć na j. polski.</w:t>
      </w:r>
    </w:p>
    <w:p w14:paraId="0E64C508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Prowadzić działalność gospodarczą przez co najmniej </w:t>
      </w: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12 miesięcy</w:t>
      </w:r>
      <w:r w:rsidRPr="006E716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. </w:t>
      </w:r>
    </w:p>
    <w:p w14:paraId="4AE7841F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 spełnieniu wszystkich warunków zawartych w umowie następuje jej wygaśnięcie. </w:t>
      </w:r>
    </w:p>
    <w:p w14:paraId="2EC4664A" w14:textId="77777777" w:rsidR="006E7164" w:rsidRPr="006E7164" w:rsidRDefault="006E7164" w:rsidP="006E71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71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dotrzymanie warunków umowy będzie skutkowało koniecznością zwrotu dotacji wraz  z odsetkami ustawowymi naliczonymi od dnia jej wypłacenia w ciągu 30 dni od daty żądania zwrotu przez Starostę. W przypadku nie zapłacenia żądanej kwoty sprawa zostanie skierowana do sądu i egzekucji komorniczej.</w:t>
      </w:r>
    </w:p>
    <w:p w14:paraId="5782D651" w14:textId="77777777" w:rsidR="00622BBE" w:rsidRDefault="00622BBE"/>
    <w:sectPr w:rsidR="00622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90E07"/>
    <w:multiLevelType w:val="multilevel"/>
    <w:tmpl w:val="533C92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3664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FA7"/>
    <w:rsid w:val="0009515F"/>
    <w:rsid w:val="00622BBE"/>
    <w:rsid w:val="00641FA7"/>
    <w:rsid w:val="006E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FA097-63AD-4E93-AE68-619A8B99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Szczesny</dc:creator>
  <cp:keywords/>
  <dc:description/>
  <cp:lastModifiedBy>Elzbieta Szczesny</cp:lastModifiedBy>
  <cp:revision>2</cp:revision>
  <dcterms:created xsi:type="dcterms:W3CDTF">2024-08-22T08:52:00Z</dcterms:created>
  <dcterms:modified xsi:type="dcterms:W3CDTF">2024-08-22T08:54:00Z</dcterms:modified>
</cp:coreProperties>
</file>